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1.7 Loan repayments and amortization_P_1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Use of finance solver   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N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360,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I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5%, Pmt = 4000, FV = 0, PpY = 12, CpY = 1   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$755000 (correct to 3 s.f.)   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N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384,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I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5%, PV = 0, FV = 754638, PpY = 12, CpY = 1  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$817 per month (correct to 3 s.f.)  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